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beforeLines="50" w:after="120" w:afterLines="50" w:line="360" w:lineRule="auto"/>
        <w:jc w:val="center"/>
        <w:rPr>
          <w:rFonts w:cs="Times New Roman" w:asciiTheme="minorEastAsia" w:hAnsiTheme="minorEastAsia" w:eastAsiaTheme="minorEastAsia"/>
          <w:sz w:val="24"/>
          <w:szCs w:val="23"/>
        </w:rPr>
      </w:pPr>
      <w:r>
        <w:rPr>
          <w:rFonts w:hint="eastAsia" w:cs="Times New Roman" w:asciiTheme="minorEastAsia" w:hAnsiTheme="minorEastAsia" w:eastAsiaTheme="minorEastAsia"/>
          <w:sz w:val="24"/>
          <w:szCs w:val="23"/>
        </w:rPr>
        <w:t>证券代码：002871           证券简称：伟隆股份     公告编号：2023-11</w:t>
      </w:r>
      <w:r>
        <w:rPr>
          <w:rFonts w:hint="default" w:cs="Times New Roman" w:asciiTheme="minorEastAsia" w:hAnsiTheme="minorEastAsia" w:eastAsiaTheme="minorEastAsia"/>
          <w:sz w:val="24"/>
          <w:szCs w:val="23"/>
          <w:lang w:val="en-US"/>
        </w:rPr>
        <w:t>6</w:t>
      </w:r>
      <w:bookmarkStart w:id="0" w:name="_GoBack"/>
      <w:bookmarkEnd w:id="0"/>
    </w:p>
    <w:p>
      <w:pPr>
        <w:spacing w:before="120" w:beforeLines="50" w:after="120" w:afterLines="50" w:line="360" w:lineRule="auto"/>
        <w:jc w:val="center"/>
        <w:rPr>
          <w:rFonts w:asciiTheme="minorEastAsia" w:hAnsiTheme="minorEastAsia" w:eastAsiaTheme="minorEastAsia"/>
          <w:b/>
          <w:bCs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bCs/>
          <w:sz w:val="28"/>
          <w:szCs w:val="24"/>
        </w:rPr>
        <w:t>青岛伟隆阀门股份有限公司</w:t>
      </w:r>
    </w:p>
    <w:p>
      <w:pPr>
        <w:spacing w:before="120" w:beforeLines="50" w:after="120" w:afterLines="50" w:line="360" w:lineRule="auto"/>
        <w:jc w:val="center"/>
        <w:rPr>
          <w:rFonts w:asciiTheme="minorEastAsia" w:hAnsiTheme="minorEastAsia" w:eastAsiaTheme="minorEastAsia"/>
          <w:b/>
          <w:bCs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bCs/>
          <w:sz w:val="28"/>
          <w:szCs w:val="24"/>
        </w:rPr>
        <w:t>第四届监事会第二十二次会议决议的公告</w:t>
      </w:r>
    </w:p>
    <w:tbl>
      <w:tblPr>
        <w:tblStyle w:val="9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spacing w:before="120" w:beforeLines="50" w:after="120" w:afterLines="50" w:line="360" w:lineRule="auto"/>
              <w:ind w:firstLine="480" w:firstLineChars="200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本公司及监事会全体成员保证信息披露内容的真实、准确和完整，没有虚假记载、误导性陈述或重大遗漏。</w:t>
            </w:r>
          </w:p>
        </w:tc>
      </w:tr>
    </w:tbl>
    <w:p>
      <w:pPr>
        <w:spacing w:before="120" w:beforeLines="50" w:after="120" w:afterLines="50" w:line="360" w:lineRule="auto"/>
        <w:ind w:firstLine="570"/>
        <w:rPr>
          <w:rFonts w:asciiTheme="minorEastAsia" w:hAnsiTheme="minorEastAsia" w:eastAsiaTheme="minorEastAsia"/>
          <w:b/>
          <w:sz w:val="24"/>
          <w:szCs w:val="23"/>
        </w:rPr>
      </w:pPr>
      <w:r>
        <w:rPr>
          <w:rFonts w:hint="eastAsia" w:asciiTheme="minorEastAsia" w:hAnsiTheme="minorEastAsia" w:eastAsiaTheme="minorEastAsia"/>
          <w:b/>
          <w:sz w:val="24"/>
          <w:szCs w:val="23"/>
        </w:rPr>
        <w:t>一、监事会会议召开情况</w:t>
      </w:r>
    </w:p>
    <w:p>
      <w:pPr>
        <w:spacing w:before="120" w:beforeLines="50" w:after="120" w:afterLines="50" w:line="360" w:lineRule="auto"/>
        <w:ind w:firstLine="480" w:firstLineChars="200"/>
        <w:jc w:val="both"/>
        <w:rPr>
          <w:rFonts w:asciiTheme="minorEastAsia" w:hAnsiTheme="minorEastAsia" w:eastAsiaTheme="minorEastAsia"/>
          <w:sz w:val="24"/>
          <w:szCs w:val="23"/>
        </w:rPr>
      </w:pPr>
      <w:r>
        <w:rPr>
          <w:rFonts w:hint="eastAsia" w:asciiTheme="minorEastAsia" w:hAnsiTheme="minorEastAsia" w:eastAsiaTheme="minorEastAsia"/>
          <w:sz w:val="24"/>
          <w:szCs w:val="23"/>
        </w:rPr>
        <w:t>青岛伟隆阀门股份有限公司（以下称“公司”）第四届监事会第二十二次会议通知于2023年12月6日通过专人送达、电子邮件等方式送达给监事和高级管理人员。会议于2023年12月12日上午</w:t>
      </w:r>
      <w:r>
        <w:rPr>
          <w:rFonts w:asciiTheme="minorEastAsia" w:hAnsiTheme="minorEastAsia" w:eastAsiaTheme="minorEastAsia"/>
          <w:sz w:val="24"/>
          <w:szCs w:val="23"/>
        </w:rPr>
        <w:t>09</w:t>
      </w:r>
      <w:r>
        <w:rPr>
          <w:rFonts w:hint="eastAsia" w:asciiTheme="minorEastAsia" w:hAnsiTheme="minorEastAsia" w:eastAsiaTheme="minorEastAsia"/>
          <w:sz w:val="24"/>
          <w:szCs w:val="23"/>
        </w:rPr>
        <w:t>时在公司会议室以现场方式召开。本次会议应到监事3名，实到3名。会议由监事会主席于春红女士召集和主持。会议的召集、召开及表决程序符合《中华人民共和国公司法》及《青岛伟隆阀门股份有限公司章程》的规定，合法有效。</w:t>
      </w:r>
    </w:p>
    <w:p>
      <w:pPr>
        <w:spacing w:before="120" w:beforeLines="50" w:after="120" w:afterLines="50" w:line="360" w:lineRule="auto"/>
        <w:ind w:firstLine="482" w:firstLineChars="200"/>
        <w:rPr>
          <w:rFonts w:asciiTheme="minorEastAsia" w:hAnsiTheme="minorEastAsia" w:eastAsiaTheme="minorEastAsia"/>
          <w:b/>
          <w:sz w:val="24"/>
          <w:szCs w:val="23"/>
        </w:rPr>
      </w:pPr>
      <w:r>
        <w:rPr>
          <w:rFonts w:hint="eastAsia" w:asciiTheme="minorEastAsia" w:hAnsiTheme="minorEastAsia" w:eastAsiaTheme="minorEastAsia"/>
          <w:b/>
          <w:sz w:val="24"/>
          <w:szCs w:val="23"/>
        </w:rPr>
        <w:t>二、监事会会议审议情况</w:t>
      </w:r>
    </w:p>
    <w:p>
      <w:pPr>
        <w:spacing w:before="120" w:beforeLines="50" w:after="120" w:afterLines="50" w:line="360" w:lineRule="auto"/>
        <w:ind w:firstLine="480" w:firstLineChars="200"/>
        <w:jc w:val="both"/>
        <w:rPr>
          <w:rFonts w:asciiTheme="minorEastAsia" w:hAnsiTheme="minorEastAsia" w:eastAsiaTheme="minorEastAsia"/>
          <w:sz w:val="24"/>
          <w:szCs w:val="23"/>
        </w:rPr>
      </w:pPr>
      <w:r>
        <w:rPr>
          <w:rFonts w:hint="eastAsia" w:asciiTheme="minorEastAsia" w:hAnsiTheme="minorEastAsia" w:eastAsiaTheme="minorEastAsia"/>
          <w:sz w:val="24"/>
          <w:szCs w:val="23"/>
        </w:rPr>
        <w:t>经与会监事充分的讨论和审议本次会议议案并表决，形成如下决议：</w:t>
      </w:r>
    </w:p>
    <w:p>
      <w:pPr>
        <w:spacing w:before="120" w:beforeLines="50" w:after="120" w:afterLines="50" w:line="360" w:lineRule="auto"/>
        <w:ind w:firstLine="482" w:firstLineChars="200"/>
        <w:jc w:val="both"/>
        <w:rPr>
          <w:rFonts w:asciiTheme="minorEastAsia" w:hAnsiTheme="minorEastAsia" w:eastAsiaTheme="minorEastAsia"/>
          <w:b/>
          <w:bCs/>
          <w:sz w:val="24"/>
          <w:szCs w:val="23"/>
        </w:rPr>
      </w:pPr>
      <w:r>
        <w:rPr>
          <w:rFonts w:hint="eastAsia" w:asciiTheme="minorEastAsia" w:hAnsiTheme="minorEastAsia" w:eastAsiaTheme="minorEastAsia"/>
          <w:b/>
          <w:bCs/>
          <w:sz w:val="24"/>
          <w:szCs w:val="23"/>
        </w:rPr>
        <w:t>（一）审议通过《监事会议事规则》</w:t>
      </w:r>
    </w:p>
    <w:p>
      <w:pPr>
        <w:tabs>
          <w:tab w:val="left" w:pos="2200"/>
        </w:tabs>
        <w:spacing w:before="120" w:beforeLines="50" w:after="120" w:afterLines="50" w:line="360" w:lineRule="auto"/>
        <w:ind w:firstLine="480" w:firstLineChars="200"/>
        <w:jc w:val="both"/>
        <w:rPr>
          <w:rFonts w:asciiTheme="minorEastAsia" w:hAnsiTheme="minorEastAsia" w:eastAsiaTheme="minorEastAsia"/>
          <w:sz w:val="24"/>
          <w:szCs w:val="23"/>
        </w:rPr>
      </w:pPr>
      <w:r>
        <w:rPr>
          <w:rFonts w:hint="eastAsia" w:asciiTheme="minorEastAsia" w:hAnsiTheme="minorEastAsia" w:eastAsiaTheme="minorEastAsia"/>
          <w:sz w:val="24"/>
          <w:szCs w:val="23"/>
        </w:rPr>
        <w:t>为进一步完善公司治理结构，结合公司实际情况以及《中华人民</w:t>
      </w:r>
      <w:r>
        <w:rPr>
          <w:rFonts w:asciiTheme="minorEastAsia" w:hAnsiTheme="minorEastAsia" w:eastAsiaTheme="minorEastAsia"/>
          <w:sz w:val="24"/>
          <w:szCs w:val="23"/>
        </w:rPr>
        <w:t>共和国公司法》《中华人民共和国证券法》《上市公司章程指引》《上市公司独立董事管理办法》《深圳证券交易所股票上市规则》等法律、法规、规范性文件的规定和修订内容，拟对《监事会议事规则》部分条款进行修订。</w:t>
      </w:r>
    </w:p>
    <w:p>
      <w:pPr>
        <w:spacing w:before="120" w:beforeLines="50" w:after="120" w:afterLines="50" w:line="360" w:lineRule="auto"/>
        <w:ind w:firstLine="482" w:firstLineChars="200"/>
        <w:jc w:val="both"/>
        <w:rPr>
          <w:rFonts w:asciiTheme="minorEastAsia" w:hAnsiTheme="minorEastAsia" w:eastAsiaTheme="minorEastAsia"/>
          <w:b/>
          <w:bCs/>
          <w:sz w:val="24"/>
          <w:szCs w:val="23"/>
        </w:rPr>
      </w:pPr>
      <w:r>
        <w:rPr>
          <w:rFonts w:hint="eastAsia" w:asciiTheme="minorEastAsia" w:hAnsiTheme="minorEastAsia" w:eastAsiaTheme="minorEastAsia"/>
          <w:b/>
          <w:bCs/>
          <w:sz w:val="24"/>
          <w:szCs w:val="23"/>
        </w:rPr>
        <w:t xml:space="preserve"> 表决结果：同意 3票，弃权 0 票，反对 0 票</w:t>
      </w:r>
      <w:r>
        <w:rPr>
          <w:rFonts w:hint="eastAsia" w:asciiTheme="minorEastAsia" w:hAnsiTheme="minorEastAsia" w:eastAsiaTheme="minorEastAsia"/>
          <w:sz w:val="24"/>
          <w:szCs w:val="23"/>
        </w:rPr>
        <w:t>。获得通过。</w:t>
      </w:r>
    </w:p>
    <w:p>
      <w:pPr>
        <w:spacing w:before="120" w:beforeLines="50" w:after="120" w:afterLines="50" w:line="360" w:lineRule="auto"/>
        <w:ind w:firstLine="480" w:firstLineChars="200"/>
        <w:jc w:val="both"/>
        <w:rPr>
          <w:rFonts w:asciiTheme="minorEastAsia" w:hAnsiTheme="minorEastAsia" w:eastAsiaTheme="minorEastAsia"/>
          <w:sz w:val="24"/>
          <w:szCs w:val="23"/>
        </w:rPr>
      </w:pPr>
      <w:r>
        <w:rPr>
          <w:rFonts w:asciiTheme="minorEastAsia" w:hAnsiTheme="minorEastAsia" w:eastAsiaTheme="minorEastAsia"/>
          <w:sz w:val="24"/>
          <w:szCs w:val="23"/>
        </w:rPr>
        <w:t>具体内容详见公司</w:t>
      </w:r>
      <w:r>
        <w:rPr>
          <w:rFonts w:hint="eastAsia" w:asciiTheme="minorEastAsia" w:hAnsiTheme="minorEastAsia" w:eastAsiaTheme="minorEastAsia"/>
          <w:sz w:val="24"/>
          <w:szCs w:val="23"/>
        </w:rPr>
        <w:t>2</w:t>
      </w:r>
      <w:r>
        <w:rPr>
          <w:rFonts w:asciiTheme="minorEastAsia" w:hAnsiTheme="minorEastAsia" w:eastAsiaTheme="minorEastAsia"/>
          <w:sz w:val="24"/>
          <w:szCs w:val="23"/>
        </w:rPr>
        <w:t>023</w:t>
      </w:r>
      <w:r>
        <w:rPr>
          <w:rFonts w:hint="eastAsia" w:asciiTheme="minorEastAsia" w:hAnsiTheme="minorEastAsia" w:eastAsiaTheme="minorEastAsia"/>
          <w:sz w:val="24"/>
          <w:szCs w:val="23"/>
        </w:rPr>
        <w:t>年1</w:t>
      </w:r>
      <w:r>
        <w:rPr>
          <w:rFonts w:asciiTheme="minorEastAsia" w:hAnsiTheme="minorEastAsia" w:eastAsiaTheme="minorEastAsia"/>
          <w:sz w:val="24"/>
          <w:szCs w:val="23"/>
        </w:rPr>
        <w:t>2</w:t>
      </w:r>
      <w:r>
        <w:rPr>
          <w:rFonts w:hint="eastAsia" w:asciiTheme="minorEastAsia" w:hAnsiTheme="minorEastAsia" w:eastAsiaTheme="minorEastAsia"/>
          <w:sz w:val="24"/>
          <w:szCs w:val="23"/>
        </w:rPr>
        <w:t>月1</w:t>
      </w:r>
      <w:r>
        <w:rPr>
          <w:rFonts w:asciiTheme="minorEastAsia" w:hAnsiTheme="minorEastAsia" w:eastAsiaTheme="minorEastAsia"/>
          <w:sz w:val="24"/>
          <w:szCs w:val="23"/>
        </w:rPr>
        <w:t>3</w:t>
      </w:r>
      <w:r>
        <w:rPr>
          <w:rFonts w:hint="eastAsia" w:asciiTheme="minorEastAsia" w:hAnsiTheme="minorEastAsia" w:eastAsiaTheme="minorEastAsia"/>
          <w:sz w:val="24"/>
          <w:szCs w:val="23"/>
        </w:rPr>
        <w:t>日</w:t>
      </w:r>
      <w:r>
        <w:rPr>
          <w:rFonts w:asciiTheme="minorEastAsia" w:hAnsiTheme="minorEastAsia" w:eastAsiaTheme="minorEastAsia"/>
          <w:sz w:val="24"/>
          <w:szCs w:val="23"/>
        </w:rPr>
        <w:t>披露于巨潮资讯网（www.cninfo.com.cn）</w:t>
      </w:r>
      <w:r>
        <w:rPr>
          <w:rFonts w:hint="eastAsia" w:asciiTheme="minorEastAsia" w:hAnsiTheme="minorEastAsia" w:eastAsiaTheme="minorEastAsia"/>
          <w:sz w:val="24"/>
          <w:szCs w:val="23"/>
        </w:rPr>
        <w:t>的</w:t>
      </w:r>
      <w:r>
        <w:rPr>
          <w:rFonts w:asciiTheme="minorEastAsia" w:hAnsiTheme="minorEastAsia" w:eastAsiaTheme="minorEastAsia"/>
          <w:sz w:val="24"/>
          <w:szCs w:val="23"/>
        </w:rPr>
        <w:t>《</w:t>
      </w:r>
      <w:r>
        <w:rPr>
          <w:rFonts w:hint="eastAsia" w:asciiTheme="minorEastAsia" w:hAnsiTheme="minorEastAsia" w:eastAsiaTheme="minorEastAsia"/>
          <w:sz w:val="24"/>
          <w:szCs w:val="23"/>
        </w:rPr>
        <w:t>监事会议事规则</w:t>
      </w:r>
      <w:r>
        <w:rPr>
          <w:rFonts w:asciiTheme="minorEastAsia" w:hAnsiTheme="minorEastAsia" w:eastAsiaTheme="minorEastAsia"/>
          <w:sz w:val="24"/>
          <w:szCs w:val="23"/>
        </w:rPr>
        <w:t>》。</w:t>
      </w:r>
    </w:p>
    <w:p>
      <w:pPr>
        <w:spacing w:before="120" w:beforeLines="50" w:after="120" w:afterLines="50" w:line="360" w:lineRule="auto"/>
        <w:ind w:firstLine="480" w:firstLineChars="200"/>
        <w:jc w:val="both"/>
        <w:rPr>
          <w:rFonts w:asciiTheme="minorEastAsia" w:hAnsiTheme="minorEastAsia" w:eastAsiaTheme="minorEastAsia"/>
          <w:sz w:val="24"/>
          <w:szCs w:val="23"/>
        </w:rPr>
      </w:pPr>
      <w:r>
        <w:rPr>
          <w:rFonts w:asciiTheme="minorEastAsia" w:hAnsiTheme="minorEastAsia" w:eastAsiaTheme="minorEastAsia"/>
          <w:sz w:val="24"/>
          <w:szCs w:val="23"/>
        </w:rPr>
        <w:t>该议案需提交公司股东大会审议。</w:t>
      </w:r>
    </w:p>
    <w:p>
      <w:pPr>
        <w:spacing w:before="120" w:beforeLines="50" w:after="120" w:afterLines="50" w:line="360" w:lineRule="auto"/>
        <w:ind w:firstLine="468"/>
        <w:rPr>
          <w:rFonts w:asciiTheme="minorEastAsia" w:hAnsiTheme="minorEastAsia" w:eastAsiaTheme="minorEastAsia"/>
          <w:b/>
          <w:color w:val="000000"/>
          <w:sz w:val="24"/>
        </w:rPr>
      </w:pPr>
      <w:r>
        <w:rPr>
          <w:rFonts w:asciiTheme="minorEastAsia" w:hAnsiTheme="minorEastAsia" w:eastAsiaTheme="minorEastAsia"/>
          <w:b/>
          <w:color w:val="000000"/>
          <w:sz w:val="24"/>
        </w:rPr>
        <w:t> </w:t>
      </w:r>
      <w:r>
        <w:rPr>
          <w:rFonts w:hint="eastAsia" w:asciiTheme="minorEastAsia" w:hAnsiTheme="minorEastAsia" w:eastAsiaTheme="minorEastAsia"/>
          <w:b/>
          <w:color w:val="000000"/>
          <w:sz w:val="24"/>
        </w:rPr>
        <w:t>三、备查文件</w:t>
      </w:r>
    </w:p>
    <w:p>
      <w:pPr>
        <w:numPr>
          <w:ilvl w:val="0"/>
          <w:numId w:val="1"/>
        </w:numPr>
        <w:spacing w:before="120" w:beforeLines="50" w:after="120" w:afterLines="50" w:line="360" w:lineRule="auto"/>
        <w:ind w:firstLine="480" w:firstLineChars="200"/>
        <w:jc w:val="both"/>
        <w:rPr>
          <w:rFonts w:asciiTheme="minorEastAsia" w:hAnsiTheme="minorEastAsia" w:eastAsiaTheme="minorEastAsia"/>
          <w:sz w:val="24"/>
          <w:szCs w:val="23"/>
        </w:rPr>
      </w:pPr>
      <w:r>
        <w:rPr>
          <w:rFonts w:hint="eastAsia" w:asciiTheme="minorEastAsia" w:hAnsiTheme="minorEastAsia" w:eastAsiaTheme="minorEastAsia"/>
          <w:sz w:val="24"/>
          <w:szCs w:val="23"/>
        </w:rPr>
        <w:t>《青岛伟隆阀门股份有限公司第四届监事会第二十二次会议决议》；</w:t>
      </w:r>
    </w:p>
    <w:p>
      <w:pPr>
        <w:spacing w:before="120" w:beforeLines="50" w:after="120" w:afterLines="50" w:line="360" w:lineRule="auto"/>
        <w:ind w:firstLine="480" w:firstLineChars="200"/>
        <w:jc w:val="both"/>
        <w:rPr>
          <w:rFonts w:asciiTheme="minorEastAsia" w:hAnsiTheme="minorEastAsia" w:eastAsiaTheme="minorEastAsia"/>
          <w:sz w:val="24"/>
          <w:szCs w:val="23"/>
        </w:rPr>
      </w:pPr>
      <w:r>
        <w:rPr>
          <w:rFonts w:hint="eastAsia" w:asciiTheme="minorEastAsia" w:hAnsiTheme="minorEastAsia" w:eastAsiaTheme="minorEastAsia"/>
          <w:sz w:val="24"/>
          <w:szCs w:val="23"/>
        </w:rPr>
        <w:t>特此公告。</w:t>
      </w:r>
    </w:p>
    <w:p>
      <w:pPr>
        <w:tabs>
          <w:tab w:val="left" w:pos="3735"/>
        </w:tabs>
        <w:spacing w:before="120" w:beforeLines="50" w:after="120" w:afterLines="50" w:line="360" w:lineRule="auto"/>
        <w:ind w:firstLine="468"/>
        <w:rPr>
          <w:rFonts w:asciiTheme="minorEastAsia" w:hAnsiTheme="minorEastAsia" w:eastAsiaTheme="minorEastAsia"/>
          <w:sz w:val="24"/>
          <w:szCs w:val="24"/>
        </w:rPr>
      </w:pPr>
      <w:r>
        <w:rPr>
          <w:rFonts w:asciiTheme="minorEastAsia" w:hAnsiTheme="minorEastAsia" w:eastAsiaTheme="minorEastAsia"/>
          <w:sz w:val="24"/>
          <w:szCs w:val="24"/>
        </w:rPr>
        <w:tab/>
      </w:r>
    </w:p>
    <w:p>
      <w:pPr>
        <w:spacing w:before="120" w:beforeLines="50" w:after="120" w:afterLines="50" w:line="360" w:lineRule="auto"/>
        <w:ind w:firstLine="4560" w:firstLineChars="1900"/>
        <w:jc w:val="right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青岛伟隆阀门股份有限公司监事会</w:t>
      </w:r>
    </w:p>
    <w:p>
      <w:pPr>
        <w:wordWrap w:val="0"/>
        <w:spacing w:before="120" w:beforeLines="50" w:after="120" w:afterLines="50" w:line="360" w:lineRule="auto"/>
        <w:ind w:firstLine="5040" w:firstLineChars="2100"/>
        <w:jc w:val="right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 xml:space="preserve">2023年12月13日      </w:t>
      </w:r>
    </w:p>
    <w:p>
      <w:pPr>
        <w:spacing w:before="120" w:beforeLines="50" w:after="120" w:afterLines="50" w:line="360" w:lineRule="auto"/>
        <w:ind w:firstLine="5040" w:firstLineChars="2100"/>
        <w:rPr>
          <w:rFonts w:asciiTheme="minorEastAsia" w:hAnsiTheme="minorEastAsia" w:eastAsiaTheme="minorEastAsia"/>
          <w:sz w:val="24"/>
          <w:szCs w:val="24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D0EE39"/>
    <w:multiLevelType w:val="singleLevel"/>
    <w:tmpl w:val="0ED0EE39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397395-4930-49A3-B53B-608C3A82087F}">
  <ds:schemaRefs/>
</ds:datastoreItem>
</file>