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cs="宋体"/>
          <w:lang w:val="en-US"/>
        </w:rPr>
      </w:pPr>
      <w:r>
        <w:rPr>
          <w:rFonts w:hint="eastAsia" w:ascii="宋体" w:hAnsi="宋体" w:cs="宋体"/>
        </w:rPr>
        <w:t>股票代码：002871             股票简称:伟隆股份            公告编号：202</w:t>
      </w:r>
      <w:r>
        <w:rPr>
          <w:rFonts w:ascii="宋体" w:hAnsi="宋体" w:cs="宋体"/>
        </w:rPr>
        <w:t>4</w:t>
      </w:r>
      <w:r>
        <w:rPr>
          <w:rFonts w:hint="eastAsia" w:ascii="宋体" w:hAnsi="宋体" w:cs="宋体"/>
        </w:rPr>
        <w:t>-</w:t>
      </w:r>
      <w:r>
        <w:rPr>
          <w:rFonts w:hint="default" w:ascii="宋体" w:hAnsi="宋体" w:cs="宋体"/>
          <w:lang w:val="en-US"/>
        </w:rPr>
        <w:t>002</w:t>
      </w:r>
    </w:p>
    <w:p>
      <w:pPr>
        <w:jc w:val="center"/>
        <w:rPr>
          <w:rFonts w:ascii="宋体" w:hAnsi="宋体" w:cs="宋体"/>
          <w:b/>
          <w:bCs/>
          <w:sz w:val="28"/>
          <w:szCs w:val="28"/>
        </w:rPr>
      </w:pPr>
      <w:r>
        <w:rPr>
          <w:rFonts w:hint="eastAsia" w:ascii="宋体" w:hAnsi="宋体" w:cs="宋体"/>
          <w:b/>
          <w:bCs/>
          <w:sz w:val="28"/>
          <w:szCs w:val="28"/>
        </w:rPr>
        <w:t>青岛伟隆阀门股份有限公司</w:t>
      </w:r>
    </w:p>
    <w:p>
      <w:pPr>
        <w:pStyle w:val="8"/>
        <w:spacing w:before="0" w:beforeAutospacing="0" w:after="0" w:afterAutospacing="0"/>
        <w:jc w:val="center"/>
        <w:rPr>
          <w:b/>
          <w:bCs/>
          <w:sz w:val="28"/>
          <w:szCs w:val="28"/>
        </w:rPr>
      </w:pPr>
      <w:r>
        <w:rPr>
          <w:b/>
          <w:bCs/>
          <w:sz w:val="28"/>
          <w:szCs w:val="28"/>
        </w:rPr>
        <w:t>关于公司申请向不特定对象发行可转换公司债券的</w:t>
      </w:r>
    </w:p>
    <w:p>
      <w:pPr>
        <w:pStyle w:val="8"/>
        <w:spacing w:before="0" w:beforeAutospacing="0" w:after="0" w:afterAutospacing="0"/>
        <w:jc w:val="center"/>
        <w:rPr>
          <w:b/>
          <w:bCs/>
          <w:sz w:val="28"/>
          <w:szCs w:val="28"/>
        </w:rPr>
      </w:pPr>
      <w:r>
        <w:rPr>
          <w:b/>
          <w:bCs/>
          <w:sz w:val="28"/>
          <w:szCs w:val="28"/>
        </w:rPr>
        <w:t>审核问询函回复的提示性公告</w:t>
      </w:r>
    </w:p>
    <w:p>
      <w:pPr>
        <w:pStyle w:val="21"/>
        <w:spacing w:after="156" w:afterLines="50"/>
        <w:rPr>
          <w:rFonts w:hAnsi="宋体"/>
          <w:color w:val="auto"/>
          <w:sz w:val="23"/>
          <w:szCs w:val="23"/>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6" w:hRule="atLeast"/>
          <w:jc w:val="center"/>
        </w:trPr>
        <w:tc>
          <w:tcPr>
            <w:tcW w:w="8019" w:type="dxa"/>
          </w:tcPr>
          <w:p>
            <w:pPr>
              <w:pStyle w:val="21"/>
              <w:spacing w:after="156" w:afterLines="50"/>
              <w:ind w:left="-2" w:leftChars="-1" w:right="-218" w:rightChars="-104" w:firstLine="475" w:firstLineChars="198"/>
              <w:rPr>
                <w:rFonts w:hAnsi="宋体"/>
                <w:bCs/>
                <w:color w:val="auto"/>
              </w:rPr>
            </w:pPr>
            <w:r>
              <w:rPr>
                <w:rFonts w:hint="eastAsia" w:hAnsi="宋体"/>
                <w:bCs/>
                <w:color w:val="auto"/>
              </w:rPr>
              <w:t>本公司及董事会全体成员保证信息披露的内容真实、准确、完整，没有虚假记载、误导性陈述或重大遗漏。</w:t>
            </w:r>
          </w:p>
        </w:tc>
      </w:tr>
    </w:tbl>
    <w:p>
      <w:pPr>
        <w:pStyle w:val="21"/>
        <w:spacing w:after="156" w:afterLines="50"/>
        <w:rPr>
          <w:rFonts w:hAnsi="宋体"/>
          <w:color w:val="auto"/>
          <w:sz w:val="21"/>
          <w:szCs w:val="21"/>
        </w:rPr>
      </w:pPr>
      <w:r>
        <w:rPr>
          <w:rFonts w:hint="eastAsia" w:hAnsi="宋体"/>
          <w:color w:val="auto"/>
          <w:sz w:val="21"/>
          <w:szCs w:val="21"/>
        </w:rPr>
        <w:t xml:space="preserve"> </w:t>
      </w:r>
    </w:p>
    <w:p>
      <w:pPr>
        <w:spacing w:before="156" w:beforeLines="50" w:after="156" w:afterLines="50" w:line="360" w:lineRule="auto"/>
        <w:ind w:firstLine="480" w:firstLineChars="200"/>
        <w:rPr>
          <w:bCs/>
          <w:sz w:val="24"/>
        </w:rPr>
      </w:pPr>
      <w:r>
        <w:rPr>
          <w:rFonts w:hint="eastAsia"/>
          <w:bCs/>
          <w:sz w:val="24"/>
        </w:rPr>
        <w:t>青岛伟隆阀门</w:t>
      </w:r>
      <w:r>
        <w:rPr>
          <w:bCs/>
          <w:sz w:val="24"/>
        </w:rPr>
        <w:t>股份有限公司（以下简称“公司”）于2023年12月14日收到深圳证券交易所（以下简称“深交所”）出具的《关于</w:t>
      </w:r>
      <w:r>
        <w:rPr>
          <w:rFonts w:hint="eastAsia"/>
          <w:bCs/>
          <w:sz w:val="24"/>
        </w:rPr>
        <w:t>青岛伟隆阀门</w:t>
      </w:r>
      <w:r>
        <w:rPr>
          <w:bCs/>
          <w:sz w:val="24"/>
        </w:rPr>
        <w:t>股份有限公司申请向不特定对象发行可转换公司债券的审核问询函》（审核函〔2023〕120174号）（以下简称“《问询函》”）。公司收到《问询函》后，按照要求会同相关中介机构就《问询函》提出的问题进行了认真研究和逐项落实，现根据相关要求对《问询函》回复进行公开披露，具体内容详见公司于2023年</w:t>
      </w:r>
      <w:r>
        <w:rPr>
          <w:rFonts w:hint="eastAsia"/>
          <w:bCs/>
          <w:sz w:val="24"/>
        </w:rPr>
        <w:t>1</w:t>
      </w:r>
      <w:r>
        <w:rPr>
          <w:bCs/>
          <w:sz w:val="24"/>
        </w:rPr>
        <w:t>月</w:t>
      </w:r>
      <w:r>
        <w:rPr>
          <w:rFonts w:hint="eastAsia"/>
          <w:bCs/>
          <w:sz w:val="24"/>
        </w:rPr>
        <w:t>3</w:t>
      </w:r>
      <w:r>
        <w:rPr>
          <w:bCs/>
          <w:sz w:val="24"/>
        </w:rPr>
        <w:t>日在巨潮资讯网（www.cninfo.com.cn）披露的《关于</w:t>
      </w:r>
      <w:r>
        <w:rPr>
          <w:rFonts w:hint="eastAsia"/>
          <w:bCs/>
          <w:sz w:val="24"/>
        </w:rPr>
        <w:t>青岛伟隆阀门</w:t>
      </w:r>
      <w:r>
        <w:rPr>
          <w:bCs/>
          <w:sz w:val="24"/>
        </w:rPr>
        <w:t>股份有限公司申请向不特定对象发行可转换公司债券的审核问询函之回复》，公司将按照要求及时将书面回复材料报送深交所。</w:t>
      </w:r>
    </w:p>
    <w:p>
      <w:pPr>
        <w:spacing w:before="156" w:beforeLines="50" w:after="156" w:afterLines="50" w:line="360" w:lineRule="auto"/>
        <w:ind w:firstLine="480" w:firstLineChars="200"/>
        <w:rPr>
          <w:bCs/>
          <w:sz w:val="24"/>
        </w:rPr>
      </w:pPr>
      <w:r>
        <w:rPr>
          <w:bCs/>
          <w:sz w:val="24"/>
        </w:rPr>
        <w:t>公司本次向不特定对象发行可转换公司债券事项尚需通过深交所审核，并获得中国证券监督管理委员会（以下简称“中国证监会”）做出同意注册的决定后方可实施，最终能否通过深交所审核，并获得中国证监会同意注册的决定及其时间存在不确定性。公司将根据该事项的进展情况及时履行信息披露义务，敬请广大投资者注意投资风险。</w:t>
      </w:r>
    </w:p>
    <w:p>
      <w:pPr>
        <w:spacing w:before="156" w:beforeLines="50" w:after="50" w:line="360" w:lineRule="auto"/>
        <w:ind w:firstLine="480" w:firstLineChars="200"/>
        <w:rPr>
          <w:rFonts w:ascii="宋体" w:hAnsi="宋体" w:cs="宋体"/>
          <w:sz w:val="24"/>
        </w:rPr>
      </w:pPr>
      <w:r>
        <w:rPr>
          <w:rFonts w:hint="eastAsia" w:ascii="宋体" w:hAnsi="宋体" w:cs="宋体"/>
          <w:sz w:val="24"/>
        </w:rPr>
        <w:t>特此公告！</w:t>
      </w:r>
    </w:p>
    <w:p>
      <w:pPr>
        <w:wordWrap w:val="0"/>
        <w:spacing w:after="156" w:afterLines="50" w:line="480" w:lineRule="exact"/>
        <w:ind w:firstLine="4080" w:firstLineChars="1700"/>
        <w:rPr>
          <w:rFonts w:ascii="宋体" w:hAnsi="宋体" w:cs="宋体"/>
          <w:bCs/>
          <w:sz w:val="24"/>
        </w:rPr>
      </w:pPr>
      <w:r>
        <w:rPr>
          <w:rFonts w:hint="eastAsia" w:ascii="宋体" w:hAnsi="宋体" w:cs="宋体"/>
          <w:bCs/>
          <w:sz w:val="24"/>
        </w:rPr>
        <w:t>青岛伟隆阀门股份有限公司董事会</w:t>
      </w:r>
    </w:p>
    <w:p>
      <w:pPr>
        <w:wordWrap w:val="0"/>
        <w:spacing w:after="156" w:afterLines="50" w:line="480" w:lineRule="exact"/>
        <w:ind w:firstLine="5136" w:firstLineChars="2140"/>
        <w:rPr>
          <w:rFonts w:ascii="宋体" w:hAnsi="宋体" w:cs="宋体"/>
          <w:bCs/>
          <w:sz w:val="24"/>
        </w:rPr>
      </w:pPr>
      <w:r>
        <w:rPr>
          <w:rFonts w:hint="eastAsia" w:ascii="宋体" w:hAnsi="宋体" w:cs="宋体"/>
          <w:bCs/>
          <w:sz w:val="24"/>
        </w:rPr>
        <w:t>202</w:t>
      </w:r>
      <w:r>
        <w:rPr>
          <w:rFonts w:ascii="宋体" w:hAnsi="宋体" w:cs="宋体"/>
          <w:bCs/>
          <w:sz w:val="24"/>
        </w:rPr>
        <w:t>4</w:t>
      </w:r>
      <w:r>
        <w:rPr>
          <w:rFonts w:hint="eastAsia" w:ascii="宋体" w:hAnsi="宋体" w:cs="宋体"/>
          <w:bCs/>
          <w:sz w:val="24"/>
        </w:rPr>
        <w:t>年</w:t>
      </w:r>
      <w:r>
        <w:rPr>
          <w:rFonts w:hint="default" w:ascii="宋体" w:hAnsi="宋体" w:cs="宋体"/>
          <w:bCs/>
          <w:sz w:val="24"/>
          <w:lang w:val="en-US"/>
        </w:rPr>
        <w:t>0</w:t>
      </w:r>
      <w:bookmarkStart w:id="0" w:name="_GoBack"/>
      <w:bookmarkEnd w:id="0"/>
      <w:r>
        <w:rPr>
          <w:rFonts w:hint="eastAsia" w:ascii="宋体" w:hAnsi="宋体" w:cs="宋体"/>
          <w:bCs/>
          <w:sz w:val="24"/>
        </w:rPr>
        <w:t>1月</w:t>
      </w:r>
      <w:r>
        <w:rPr>
          <w:rFonts w:hint="default" w:ascii="宋体" w:hAnsi="宋体" w:cs="宋体"/>
          <w:bCs/>
          <w:sz w:val="24"/>
          <w:lang w:val="en-US"/>
        </w:rPr>
        <w:t>0</w:t>
      </w:r>
      <w:r>
        <w:rPr>
          <w:rFonts w:ascii="宋体" w:hAnsi="宋体" w:cs="宋体"/>
          <w:bCs/>
          <w:sz w:val="24"/>
        </w:rPr>
        <w:t>3</w:t>
      </w:r>
      <w:r>
        <w:rPr>
          <w:rFonts w:hint="eastAsia" w:ascii="宋体" w:hAnsi="宋体" w:cs="宋体"/>
          <w:bCs/>
          <w:sz w:val="24"/>
        </w:rPr>
        <w:t>日</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fldChar w:fldCharType="end"/>
    </w:r>
  </w:p>
  <w:p>
    <w:pPr>
      <w:pStyle w:val="6"/>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